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BB" w:rsidRPr="00FC26F0" w:rsidRDefault="00FC26F0">
      <w:pPr>
        <w:rPr>
          <w:b/>
        </w:rPr>
      </w:pPr>
      <w:r w:rsidRPr="00FC26F0">
        <w:rPr>
          <w:b/>
        </w:rPr>
        <w:t>The geography of creativity in the UK</w:t>
      </w:r>
    </w:p>
    <w:p w:rsidR="00FC26F0" w:rsidRPr="00FC26F0" w:rsidRDefault="00FC26F0">
      <w:pPr>
        <w:rPr>
          <w:b/>
        </w:rPr>
      </w:pPr>
      <w:r w:rsidRPr="00FC26F0">
        <w:rPr>
          <w:b/>
        </w:rPr>
        <w:t xml:space="preserve">Report by </w:t>
      </w:r>
      <w:proofErr w:type="spellStart"/>
      <w:r w:rsidRPr="00FC26F0">
        <w:rPr>
          <w:b/>
        </w:rPr>
        <w:t>Nesta</w:t>
      </w:r>
      <w:proofErr w:type="spellEnd"/>
      <w:r w:rsidRPr="00FC26F0">
        <w:rPr>
          <w:b/>
        </w:rPr>
        <w:t xml:space="preserve"> and Creative England, July 2016</w:t>
      </w:r>
    </w:p>
    <w:p w:rsidR="00FC26F0" w:rsidRDefault="00FC26F0">
      <w:pPr>
        <w:rPr>
          <w:b/>
        </w:rPr>
      </w:pPr>
      <w:r w:rsidRPr="00FC26F0">
        <w:rPr>
          <w:b/>
        </w:rPr>
        <w:t>Summary</w:t>
      </w:r>
    </w:p>
    <w:p w:rsidR="00FC26F0" w:rsidRDefault="00FC26F0" w:rsidP="00FC26F0">
      <w:pPr>
        <w:pStyle w:val="ListParagraph"/>
        <w:numPr>
          <w:ilvl w:val="0"/>
          <w:numId w:val="1"/>
        </w:numPr>
      </w:pPr>
      <w:r w:rsidRPr="00FC26F0">
        <w:t xml:space="preserve">UK creative industries make a major contribution to the national </w:t>
      </w:r>
      <w:r>
        <w:t>GVA-5.2%, but this grew by 8.9% between 2013 and 2014, twice as fast as UK GVA overall.</w:t>
      </w:r>
    </w:p>
    <w:p w:rsidR="00FC26F0" w:rsidRDefault="00FC26F0" w:rsidP="00FC26F0">
      <w:pPr>
        <w:pStyle w:val="ListParagraph"/>
        <w:numPr>
          <w:ilvl w:val="0"/>
          <w:numId w:val="1"/>
        </w:numPr>
      </w:pPr>
      <w:r>
        <w:t>The impact and importance of the sector is much less well know outside London and the main cities</w:t>
      </w:r>
    </w:p>
    <w:p w:rsidR="00FC26F0" w:rsidRDefault="00FC26F0" w:rsidP="00FC26F0">
      <w:pPr>
        <w:pStyle w:val="ListParagraph"/>
        <w:numPr>
          <w:ilvl w:val="0"/>
          <w:numId w:val="1"/>
        </w:numPr>
      </w:pPr>
      <w:r>
        <w:t>There is rapid growth in the UK particularly in design, software, digital and advertising</w:t>
      </w:r>
    </w:p>
    <w:p w:rsidR="00FC26F0" w:rsidRDefault="00FC26F0" w:rsidP="00FC26F0">
      <w:pPr>
        <w:pStyle w:val="ListParagraph"/>
        <w:numPr>
          <w:ilvl w:val="0"/>
          <w:numId w:val="1"/>
        </w:numPr>
      </w:pPr>
      <w:r>
        <w:t>There is also an explosion of entrepreneurial activity, with the average size of a company getting smaller, now 3.3 pp per company</w:t>
      </w:r>
    </w:p>
    <w:p w:rsidR="00FC26F0" w:rsidRDefault="00FC26F0" w:rsidP="00FC26F0">
      <w:pPr>
        <w:pStyle w:val="ListParagraph"/>
        <w:numPr>
          <w:ilvl w:val="0"/>
          <w:numId w:val="1"/>
        </w:numPr>
      </w:pPr>
      <w:r>
        <w:t>A third of all clusters are in London and the SE</w:t>
      </w:r>
    </w:p>
    <w:p w:rsidR="0028183F" w:rsidRDefault="0028183F" w:rsidP="00FC26F0">
      <w:pPr>
        <w:pStyle w:val="ListParagraph"/>
        <w:numPr>
          <w:ilvl w:val="0"/>
          <w:numId w:val="1"/>
        </w:numPr>
      </w:pPr>
      <w:r>
        <w:t>There are crea</w:t>
      </w:r>
      <w:bookmarkStart w:id="0" w:name="_GoBack"/>
      <w:bookmarkEnd w:id="0"/>
      <w:r>
        <w:t xml:space="preserve">tive conurbations as well as cities </w:t>
      </w:r>
    </w:p>
    <w:p w:rsidR="0028183F" w:rsidRDefault="0028183F" w:rsidP="00FC26F0">
      <w:pPr>
        <w:pStyle w:val="ListParagraph"/>
        <w:numPr>
          <w:ilvl w:val="0"/>
          <w:numId w:val="1"/>
        </w:numPr>
      </w:pPr>
      <w:r>
        <w:t>In the southern clusters, universities play a smaller role than in the north-an opportunity for southern universities.</w:t>
      </w:r>
    </w:p>
    <w:p w:rsidR="0028183F" w:rsidRDefault="0028183F" w:rsidP="0028183F">
      <w:r>
        <w:t>National information</w:t>
      </w:r>
    </w:p>
    <w:p w:rsidR="0028183F" w:rsidRDefault="0028183F" w:rsidP="0028183F">
      <w:pPr>
        <w:pStyle w:val="ListParagraph"/>
        <w:numPr>
          <w:ilvl w:val="0"/>
          <w:numId w:val="2"/>
        </w:numPr>
      </w:pPr>
      <w:r>
        <w:t>The creative industries are now recognised as a driver of UK jobs, innovation and growth.</w:t>
      </w:r>
    </w:p>
    <w:p w:rsidR="0028183F" w:rsidRDefault="0028183F" w:rsidP="0028183F">
      <w:pPr>
        <w:pStyle w:val="ListParagraph"/>
        <w:numPr>
          <w:ilvl w:val="0"/>
          <w:numId w:val="2"/>
        </w:numPr>
      </w:pPr>
      <w:r>
        <w:t>Creative jobs are much less at risk as automation puts other sector jobs at risk.</w:t>
      </w:r>
    </w:p>
    <w:p w:rsidR="0028183F" w:rsidRDefault="0028183F" w:rsidP="0028183F">
      <w:pPr>
        <w:pStyle w:val="ListParagraph"/>
        <w:numPr>
          <w:ilvl w:val="0"/>
          <w:numId w:val="2"/>
        </w:numPr>
      </w:pPr>
      <w:r>
        <w:t>Attempts to build clusters from scratch barely succeed.</w:t>
      </w:r>
    </w:p>
    <w:p w:rsidR="0028183F" w:rsidRDefault="0028183F" w:rsidP="0028183F">
      <w:pPr>
        <w:pStyle w:val="ListParagraph"/>
        <w:numPr>
          <w:ilvl w:val="0"/>
          <w:numId w:val="2"/>
        </w:numPr>
      </w:pPr>
      <w:r>
        <w:t>The study is based on NOMIS/ONS data and uses the DCMS definition</w:t>
      </w:r>
    </w:p>
    <w:p w:rsidR="0028183F" w:rsidRDefault="0028183F" w:rsidP="0028183F">
      <w:pPr>
        <w:pStyle w:val="ListParagraph"/>
        <w:numPr>
          <w:ilvl w:val="0"/>
          <w:numId w:val="2"/>
        </w:numPr>
      </w:pPr>
      <w:r>
        <w:t>Using travel to work areas (TTWAs), the study identifies 47 clusters</w:t>
      </w:r>
    </w:p>
    <w:p w:rsidR="00C30010" w:rsidRDefault="0028183F" w:rsidP="0028183F">
      <w:pPr>
        <w:pStyle w:val="ListParagraph"/>
        <w:numPr>
          <w:ilvl w:val="0"/>
          <w:numId w:val="2"/>
        </w:numPr>
      </w:pPr>
      <w:r>
        <w:t xml:space="preserve">As far as sub-sectors are </w:t>
      </w:r>
      <w:r w:rsidR="00C30010">
        <w:t>concerned</w:t>
      </w:r>
      <w:r>
        <w:t>,</w:t>
      </w:r>
      <w:r w:rsidR="00C30010">
        <w:t xml:space="preserve"> design is growing in number of businesses and turnover, and employ more than any other sub-sector. Architecture is the second highest in business numbers, then software and digital, and advertising. Publishing, music and performance arts </w:t>
      </w:r>
      <w:proofErr w:type="gramStart"/>
      <w:r w:rsidR="00C30010">
        <w:t>are</w:t>
      </w:r>
      <w:proofErr w:type="gramEnd"/>
      <w:r w:rsidR="00C30010">
        <w:t xml:space="preserve"> not growing as quickly, and in some areas, are contracting.</w:t>
      </w:r>
    </w:p>
    <w:p w:rsidR="00C30010" w:rsidRDefault="00C30010" w:rsidP="0028183F">
      <w:pPr>
        <w:pStyle w:val="ListParagraph"/>
        <w:numPr>
          <w:ilvl w:val="0"/>
          <w:numId w:val="2"/>
        </w:numPr>
      </w:pPr>
      <w:r>
        <w:t xml:space="preserve">London and the SE has more than half of all creative businesses and employees and London has 40% of employees and 33% of  businesses, </w:t>
      </w:r>
      <w:proofErr w:type="spellStart"/>
      <w:r>
        <w:t>ie</w:t>
      </w:r>
      <w:proofErr w:type="spellEnd"/>
      <w:r>
        <w:t xml:space="preserve"> companies are bigger. The SE has less than half the businesses and employees compared to London but more than the third area of the UK- East England</w:t>
      </w:r>
    </w:p>
    <w:p w:rsidR="009F699A" w:rsidRDefault="00C30010" w:rsidP="0028183F">
      <w:pPr>
        <w:pStyle w:val="ListParagraph"/>
        <w:numPr>
          <w:ilvl w:val="0"/>
          <w:numId w:val="2"/>
        </w:numPr>
      </w:pPr>
      <w:r>
        <w:t xml:space="preserve">Concentration is increasing and a small number of TTWAs have become more important nationally. </w:t>
      </w:r>
      <w:r w:rsidR="009F699A">
        <w:t xml:space="preserve"> 26% of TTWAs </w:t>
      </w:r>
      <w:r w:rsidR="00DD7D67">
        <w:t xml:space="preserve">that </w:t>
      </w:r>
      <w:r w:rsidR="009F699A">
        <w:t>are growing in terms of business numbers, and 40% growing in terms of employees are in the SE. Some cities are also on this list of growing TTWAs.</w:t>
      </w:r>
    </w:p>
    <w:p w:rsidR="009F699A" w:rsidRDefault="009F699A" w:rsidP="0028183F">
      <w:pPr>
        <w:pStyle w:val="ListParagraph"/>
        <w:numPr>
          <w:ilvl w:val="0"/>
          <w:numId w:val="2"/>
        </w:numPr>
      </w:pPr>
      <w:r>
        <w:t>Southend and Colchester are in the top 15 TTWAs in terms of</w:t>
      </w:r>
      <w:r w:rsidR="00DD7D67">
        <w:t xml:space="preserve"> </w:t>
      </w:r>
      <w:r>
        <w:t xml:space="preserve">growth in creative employment but no </w:t>
      </w:r>
      <w:r w:rsidR="00DD7D67">
        <w:t>K</w:t>
      </w:r>
      <w:r>
        <w:t>ent TTWAs are in this list</w:t>
      </w:r>
    </w:p>
    <w:p w:rsidR="009F699A" w:rsidRDefault="009F699A" w:rsidP="009F699A">
      <w:r>
        <w:t>Kent clusters</w:t>
      </w:r>
    </w:p>
    <w:p w:rsidR="009F699A" w:rsidRDefault="009F699A" w:rsidP="009F699A">
      <w:pPr>
        <w:pStyle w:val="ListParagraph"/>
        <w:numPr>
          <w:ilvl w:val="0"/>
          <w:numId w:val="3"/>
        </w:numPr>
      </w:pPr>
      <w:r>
        <w:t>Of the 47 creative clusters, 3 are in Kent: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268"/>
        <w:gridCol w:w="3464"/>
      </w:tblGrid>
      <w:tr w:rsidR="00DF57F5" w:rsidTr="00F8211E">
        <w:tc>
          <w:tcPr>
            <w:tcW w:w="1798" w:type="dxa"/>
          </w:tcPr>
          <w:p w:rsidR="00DF57F5" w:rsidRDefault="00DF57F5" w:rsidP="009F699A">
            <w:r>
              <w:t>Cluster</w:t>
            </w:r>
          </w:p>
        </w:tc>
        <w:tc>
          <w:tcPr>
            <w:tcW w:w="2268" w:type="dxa"/>
          </w:tcPr>
          <w:p w:rsidR="00DF57F5" w:rsidRDefault="00DF57F5" w:rsidP="009F699A">
            <w:r>
              <w:t>Growth/concentration</w:t>
            </w:r>
          </w:p>
        </w:tc>
        <w:tc>
          <w:tcPr>
            <w:tcW w:w="3464" w:type="dxa"/>
          </w:tcPr>
          <w:p w:rsidR="00DF57F5" w:rsidRDefault="00DF57F5" w:rsidP="009F699A">
            <w:r>
              <w:t>Notes</w:t>
            </w:r>
          </w:p>
        </w:tc>
      </w:tr>
      <w:tr w:rsidR="00DF57F5" w:rsidTr="00F8211E">
        <w:tc>
          <w:tcPr>
            <w:tcW w:w="1798" w:type="dxa"/>
          </w:tcPr>
          <w:p w:rsidR="00DF57F5" w:rsidRDefault="00DF57F5" w:rsidP="009F699A">
            <w:r>
              <w:t>Medway</w:t>
            </w:r>
          </w:p>
        </w:tc>
        <w:tc>
          <w:tcPr>
            <w:tcW w:w="2268" w:type="dxa"/>
          </w:tcPr>
          <w:p w:rsidR="00DF57F5" w:rsidRDefault="00DF57F5" w:rsidP="009F699A">
            <w:r>
              <w:t>High growth</w:t>
            </w:r>
          </w:p>
        </w:tc>
        <w:tc>
          <w:tcPr>
            <w:tcW w:w="3464" w:type="dxa"/>
          </w:tcPr>
          <w:p w:rsidR="00DF57F5" w:rsidRDefault="00DF57F5" w:rsidP="009F699A">
            <w:r>
              <w:t>Architecture growing</w:t>
            </w:r>
          </w:p>
        </w:tc>
      </w:tr>
      <w:tr w:rsidR="00DF57F5" w:rsidTr="00F8211E">
        <w:tc>
          <w:tcPr>
            <w:tcW w:w="1798" w:type="dxa"/>
          </w:tcPr>
          <w:p w:rsidR="00DF57F5" w:rsidRDefault="00DF57F5" w:rsidP="009F699A">
            <w:r>
              <w:t>Canterbury</w:t>
            </w:r>
          </w:p>
        </w:tc>
        <w:tc>
          <w:tcPr>
            <w:tcW w:w="2268" w:type="dxa"/>
          </w:tcPr>
          <w:p w:rsidR="00DF57F5" w:rsidRDefault="00DF57F5" w:rsidP="009F699A">
            <w:r>
              <w:t>High concentration</w:t>
            </w:r>
          </w:p>
        </w:tc>
        <w:tc>
          <w:tcPr>
            <w:tcW w:w="3464" w:type="dxa"/>
          </w:tcPr>
          <w:p w:rsidR="00DF57F5" w:rsidRDefault="00DF57F5" w:rsidP="009F699A">
            <w:r>
              <w:t>Concentration in architecture</w:t>
            </w:r>
          </w:p>
        </w:tc>
      </w:tr>
      <w:tr w:rsidR="00DF57F5" w:rsidTr="00F8211E">
        <w:tc>
          <w:tcPr>
            <w:tcW w:w="1798" w:type="dxa"/>
          </w:tcPr>
          <w:p w:rsidR="00DF57F5" w:rsidRDefault="00DF57F5" w:rsidP="009F699A">
            <w:r>
              <w:t>Tunbridge Wells</w:t>
            </w:r>
          </w:p>
        </w:tc>
        <w:tc>
          <w:tcPr>
            <w:tcW w:w="2268" w:type="dxa"/>
          </w:tcPr>
          <w:p w:rsidR="00DF57F5" w:rsidRDefault="00DF57F5" w:rsidP="00B45C4A">
            <w:r>
              <w:t>High growth and concentration</w:t>
            </w:r>
          </w:p>
        </w:tc>
        <w:tc>
          <w:tcPr>
            <w:tcW w:w="3464" w:type="dxa"/>
          </w:tcPr>
          <w:p w:rsidR="00DF57F5" w:rsidRDefault="00DF57F5" w:rsidP="00F8211E">
            <w:r>
              <w:t xml:space="preserve">As well as a cluster in its own right, joins up with Hastings, Brighton and </w:t>
            </w:r>
            <w:r>
              <w:lastRenderedPageBreak/>
              <w:t>Eastbourne to form a bigger cluster with concentration and growth in architecture, content and publishing</w:t>
            </w:r>
          </w:p>
        </w:tc>
      </w:tr>
    </w:tbl>
    <w:p w:rsidR="009F699A" w:rsidRDefault="00F8211E" w:rsidP="00F8211E">
      <w:r>
        <w:lastRenderedPageBreak/>
        <w:t xml:space="preserve">            ONS 2016</w:t>
      </w:r>
    </w:p>
    <w:p w:rsidR="00B45C4A" w:rsidRDefault="00B45C4A" w:rsidP="009F699A">
      <w:r>
        <w:t>Tunbridge Wells has the biggest number (2,138) and concentration (11.5) of Kent’s 3 clusters. Medway has 1,699 and 7.4 and Canterbury 625 and 8.4 respectively. In terms of the fastest growing sub sector, software and digital, Medway has a high percentage (50%), T Wells 38% and Canterbury 36%.</w:t>
      </w:r>
    </w:p>
    <w:p w:rsidR="00DF57F5" w:rsidRDefault="00DF57F5" w:rsidP="009F699A">
      <w:r>
        <w:t>NB Craft occupations are not included in th</w:t>
      </w:r>
      <w:r w:rsidR="006E113F">
        <w:t xml:space="preserve">e </w:t>
      </w:r>
      <w:r>
        <w:t xml:space="preserve">analyses </w:t>
      </w:r>
      <w:r w:rsidR="006E113F">
        <w:t xml:space="preserve">in this report </w:t>
      </w:r>
      <w:r>
        <w:t xml:space="preserve">because they are notoriously difficult to measure as many are sole traders. It is possible that is why Folkestone/Margate for example </w:t>
      </w:r>
      <w:proofErr w:type="gramStart"/>
      <w:r>
        <w:t>are</w:t>
      </w:r>
      <w:proofErr w:type="gramEnd"/>
      <w:r>
        <w:t xml:space="preserve"> not listed clusters.</w:t>
      </w:r>
    </w:p>
    <w:p w:rsidR="0028183F" w:rsidRDefault="006E113F" w:rsidP="00F8211E">
      <w:r>
        <w:t>A further section about Higher Education includes Canterbury in the analysis. Medway is not included, probably because the FE presence is included under Canterbury and Greenwich, and T Wells is excluded for obvious reasons. Canterbury ranks 18</w:t>
      </w:r>
      <w:r w:rsidRPr="006E113F">
        <w:rPr>
          <w:vertAlign w:val="superscript"/>
        </w:rPr>
        <w:t>th</w:t>
      </w:r>
      <w:r>
        <w:t xml:space="preserve"> of the 33 clusters ranked according to various indices such as numbers of relevant ‘qualifiers,’ research and knowledge exchange. </w:t>
      </w:r>
      <w:proofErr w:type="gramStart"/>
      <w:r>
        <w:t>The area scores very highly on SME training and qualifiers in computer science and art and design.</w:t>
      </w:r>
      <w:proofErr w:type="gramEnd"/>
      <w:r>
        <w:t xml:space="preserve"> It scores relatively poorly on research and spin-outs.</w:t>
      </w:r>
      <w:r w:rsidR="00C622C8">
        <w:t xml:space="preserve"> However when compared with the number of creative companies in the cluster, Canterbury scores well on talent, research and knowledge exchange.</w:t>
      </w:r>
      <w:r>
        <w:t xml:space="preserve"> </w:t>
      </w:r>
    </w:p>
    <w:p w:rsidR="00C622C8" w:rsidRDefault="00C622C8" w:rsidP="00F8211E">
      <w:r>
        <w:t>A short section on networking (based on details from Meet-up) shows very strong links between the three Kent clusters and Folkestone, and weaker links between them and London. Canterbury also has strong international ties, especially with the EU.</w:t>
      </w:r>
    </w:p>
    <w:p w:rsidR="00C622C8" w:rsidRPr="00C622C8" w:rsidRDefault="00C622C8" w:rsidP="00F8211E">
      <w:pPr>
        <w:rPr>
          <w:b/>
        </w:rPr>
      </w:pPr>
      <w:r w:rsidRPr="00C622C8">
        <w:rPr>
          <w:b/>
        </w:rPr>
        <w:t>Assisting/nurturing creative clusters-policy advice</w:t>
      </w:r>
    </w:p>
    <w:p w:rsidR="00C622C8" w:rsidRDefault="00C622C8" w:rsidP="00F8211E">
      <w:r>
        <w:t>The main points from this section are that:</w:t>
      </w:r>
    </w:p>
    <w:p w:rsidR="00C622C8" w:rsidRDefault="00C622C8" w:rsidP="00C622C8">
      <w:pPr>
        <w:pStyle w:val="ListParagraph"/>
        <w:numPr>
          <w:ilvl w:val="0"/>
          <w:numId w:val="3"/>
        </w:numPr>
      </w:pPr>
      <w:r>
        <w:t>One size does not suit all-clusters are all very different and what works for one does not work for another</w:t>
      </w:r>
    </w:p>
    <w:p w:rsidR="00C622C8" w:rsidRDefault="00C622C8" w:rsidP="00C622C8">
      <w:pPr>
        <w:pStyle w:val="ListParagraph"/>
        <w:numPr>
          <w:ilvl w:val="0"/>
          <w:numId w:val="3"/>
        </w:numPr>
      </w:pPr>
      <w:r>
        <w:t>Visibility and promotion is important to growth</w:t>
      </w:r>
    </w:p>
    <w:p w:rsidR="00C622C8" w:rsidRDefault="00C622C8" w:rsidP="00C622C8">
      <w:pPr>
        <w:pStyle w:val="ListParagraph"/>
        <w:numPr>
          <w:ilvl w:val="0"/>
          <w:numId w:val="3"/>
        </w:numPr>
      </w:pPr>
      <w:r>
        <w:t>Clusters should be assisted to build on their strong points and ameliorate any weaknesses.</w:t>
      </w:r>
    </w:p>
    <w:p w:rsidR="005A12AA" w:rsidRDefault="00C622C8" w:rsidP="00C622C8">
      <w:r>
        <w:t>The full publication can be found here</w:t>
      </w:r>
    </w:p>
    <w:p w:rsidR="005A12AA" w:rsidRDefault="003A7C16" w:rsidP="00C622C8">
      <w:hyperlink r:id="rId8" w:history="1">
        <w:r w:rsidR="005A12AA" w:rsidRPr="0038239B">
          <w:rPr>
            <w:rStyle w:val="Hyperlink"/>
          </w:rPr>
          <w:t>http://www.nesta.org.uk/publications</w:t>
        </w:r>
      </w:hyperlink>
    </w:p>
    <w:p w:rsidR="005A12AA" w:rsidRDefault="005A12AA" w:rsidP="00C622C8">
      <w:r>
        <w:t>Mandy Bearne, Locate in Kent</w:t>
      </w:r>
      <w:proofErr w:type="gramStart"/>
      <w:r>
        <w:t>,  August</w:t>
      </w:r>
      <w:proofErr w:type="gramEnd"/>
      <w:r>
        <w:t xml:space="preserve"> 2016</w:t>
      </w:r>
    </w:p>
    <w:sectPr w:rsidR="005A12AA" w:rsidSect="00FC2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16" w:rsidRDefault="003A7C16" w:rsidP="003A7C16">
      <w:pPr>
        <w:spacing w:after="0" w:line="240" w:lineRule="auto"/>
      </w:pPr>
      <w:r>
        <w:separator/>
      </w:r>
    </w:p>
  </w:endnote>
  <w:endnote w:type="continuationSeparator" w:id="0">
    <w:p w:rsidR="003A7C16" w:rsidRDefault="003A7C16" w:rsidP="003A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6" w:rsidRDefault="003A7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6" w:rsidRDefault="003A7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6" w:rsidRDefault="003A7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16" w:rsidRDefault="003A7C16" w:rsidP="003A7C16">
      <w:pPr>
        <w:spacing w:after="0" w:line="240" w:lineRule="auto"/>
      </w:pPr>
      <w:r>
        <w:separator/>
      </w:r>
    </w:p>
  </w:footnote>
  <w:footnote w:type="continuationSeparator" w:id="0">
    <w:p w:rsidR="003A7C16" w:rsidRDefault="003A7C16" w:rsidP="003A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6" w:rsidRDefault="003A7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6" w:rsidRDefault="003A7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6" w:rsidRDefault="003A7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768"/>
    <w:multiLevelType w:val="hybridMultilevel"/>
    <w:tmpl w:val="5402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6007B"/>
    <w:multiLevelType w:val="hybridMultilevel"/>
    <w:tmpl w:val="2EB6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A5094"/>
    <w:multiLevelType w:val="hybridMultilevel"/>
    <w:tmpl w:val="E416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F0"/>
    <w:rsid w:val="0006014E"/>
    <w:rsid w:val="001D565D"/>
    <w:rsid w:val="0028183F"/>
    <w:rsid w:val="003A7C16"/>
    <w:rsid w:val="005A12AA"/>
    <w:rsid w:val="006E113F"/>
    <w:rsid w:val="009F699A"/>
    <w:rsid w:val="00B45C4A"/>
    <w:rsid w:val="00C30010"/>
    <w:rsid w:val="00C622C8"/>
    <w:rsid w:val="00D62683"/>
    <w:rsid w:val="00DD7D67"/>
    <w:rsid w:val="00DF57F5"/>
    <w:rsid w:val="00F8211E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F0"/>
    <w:pPr>
      <w:ind w:left="720"/>
      <w:contextualSpacing/>
    </w:pPr>
  </w:style>
  <w:style w:type="table" w:styleId="TableGrid">
    <w:name w:val="Table Grid"/>
    <w:basedOn w:val="TableNormal"/>
    <w:uiPriority w:val="59"/>
    <w:rsid w:val="009F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2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16"/>
  </w:style>
  <w:style w:type="paragraph" w:styleId="Footer">
    <w:name w:val="footer"/>
    <w:basedOn w:val="Normal"/>
    <w:link w:val="FooterChar"/>
    <w:uiPriority w:val="99"/>
    <w:unhideWhenUsed/>
    <w:rsid w:val="003A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F0"/>
    <w:pPr>
      <w:ind w:left="720"/>
      <w:contextualSpacing/>
    </w:pPr>
  </w:style>
  <w:style w:type="table" w:styleId="TableGrid">
    <w:name w:val="Table Grid"/>
    <w:basedOn w:val="TableNormal"/>
    <w:uiPriority w:val="59"/>
    <w:rsid w:val="009F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2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16"/>
  </w:style>
  <w:style w:type="paragraph" w:styleId="Footer">
    <w:name w:val="footer"/>
    <w:basedOn w:val="Normal"/>
    <w:link w:val="FooterChar"/>
    <w:uiPriority w:val="99"/>
    <w:unhideWhenUsed/>
    <w:rsid w:val="003A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a.org.uk/publication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Bearne</dc:creator>
  <cp:lastModifiedBy>Tudor Price</cp:lastModifiedBy>
  <cp:revision>2</cp:revision>
  <dcterms:created xsi:type="dcterms:W3CDTF">2016-08-30T12:52:00Z</dcterms:created>
  <dcterms:modified xsi:type="dcterms:W3CDTF">2016-08-30T12:52:00Z</dcterms:modified>
</cp:coreProperties>
</file>